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  件</w:t>
      </w:r>
    </w:p>
    <w:p>
      <w:pPr>
        <w:snapToGrid w:val="0"/>
        <w:spacing w:line="580" w:lineRule="exact"/>
        <w:rPr>
          <w:rFonts w:ascii="Times New Roman" w:hAnsi="Times New Roman"/>
        </w:rPr>
      </w:pPr>
    </w:p>
    <w:p>
      <w:pPr>
        <w:snapToGrid w:val="0"/>
        <w:spacing w:line="58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</w:rPr>
        <w:t>2020年网络安全技术应用试点示范</w:t>
      </w:r>
      <w:r>
        <w:rPr>
          <w:rFonts w:hint="default" w:ascii="Times New Roman" w:hAnsi="Times New Roman" w:eastAsia="方正小标宋简体"/>
          <w:sz w:val="36"/>
          <w:szCs w:val="36"/>
        </w:rPr>
        <w:t>项目</w:t>
      </w:r>
      <w:bookmarkStart w:id="1" w:name="_GoBack"/>
      <w:bookmarkEnd w:id="1"/>
      <w:r>
        <w:rPr>
          <w:rFonts w:hint="eastAsia" w:ascii="Times New Roman" w:hAnsi="Times New Roman" w:eastAsia="方正小标宋简体"/>
          <w:sz w:val="36"/>
          <w:szCs w:val="36"/>
        </w:rPr>
        <w:t>名单</w:t>
      </w:r>
    </w:p>
    <w:p>
      <w:pPr>
        <w:snapToGrid w:val="0"/>
        <w:spacing w:line="580" w:lineRule="exact"/>
        <w:rPr>
          <w:rFonts w:ascii="Times New Roman" w:hAnsi="Times New Roman"/>
        </w:rPr>
      </w:pP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一、新型信息基础设施安全类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（一）5G网络安全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基于知识驱动的内生安全接入系统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中国移动通信有限公司研究院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中国联通5G网络安全运维管理和安全攻防平台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中国联合网络通信有限公司研究院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中国联合网络通信集团有限公司数字化部（信息安全部）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中国联合网络通信集团有限公司网络部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5G网络环境数据安全风险监测预警与溯源分析平台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中国移动通信集团湖北有限公司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中国移动通信集团广西有限公司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北京优炫软件股份有限公司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基于深度包检测的5G网络及互联网网络安全系统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中国移动通信有限公司研究院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中国移动通信集团吉林有限公司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中国移动通信集团陕西有限公司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云资源池业务流可视与微隔离系统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北京安博通科技股份有限公司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中国电信股份有限公司天津分公司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天津大学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5G整网安全防护系统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中国移动通信集团江苏有限公司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江苏亨通光电股份有限公司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5G安全智能检测与管理系统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中国电信股份有限公司湖南分公司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中兴通讯股份有限公司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上海交通大学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5G边缘计算安全监测及防护系统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中国移动通信集团福建有限公司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基于5G内核安全的专网系统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中移（成都）信息通信科技有限公司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成都飞机工业（集团）有限责任公司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基于“云边协同”的5G MEC安全系统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恒安嘉新（北京）科技股份公司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中国联合网络通信有限公司广东省分公司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基于威胁取证处置的全流量分析平台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中国移动通信集团天津有限公司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基于5G平行仿真网络的靶场平台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中国电信股份有限公司浙江分公司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华信咨询设计研究院有限公司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天翼电子商务有限公司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面向5G网络环境的终端安全管理系统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中国移动通信集团广西有限公司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中国移动通信集团安徽有限公司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中国移动通信集团甘肃有限公司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面向5G的物联网态势感知平台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中国移动通信集团江西有限公司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动网操作智能化安全监管平台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中国联合网络通信有限公司内蒙古分公司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基于5G的网络安全攻防演练靶场公共服务平台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联通（江苏）产业互联网有限公司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三江学院</w:t>
            </w:r>
          </w:p>
        </w:tc>
      </w:tr>
    </w:tbl>
    <w:p>
      <w:pPr>
        <w:snapToGrid w:val="0"/>
        <w:spacing w:line="580" w:lineRule="exact"/>
        <w:ind w:firstLine="640" w:firstLineChars="200"/>
        <w:jc w:val="left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（二）工业互联网安全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工业物联网安全接入平台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中通服和信科技有限公司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基于安全大数据和零信任的工业互联网安全防护平台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海尔卡奥斯物联生态科技有限公司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北京卓越信通电子股份有限公司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深圳竹云科技有限公司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核安全环保云安全防护平台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核工业计算机应用研究所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面向钢铁行业的工业互联网安全一体化平台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南京中新赛克科技有限责任公司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江苏省互联网行业管理服务中心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南京钢铁有限公司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电力监控系统网络安全态势感知平台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南方电网数字电网研究院有限公司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昆钢工业互联网企业级集中化安全监测平台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昆明钢铁控股有限公司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云南昆钢电子信息科技有限公司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烽台科技（北京）有限公司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工业互联网数据安全智能监测平台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北京国双科技有限公司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面向工业互联网基础设施的网络空间资产管理平台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远江盛邦（北京）网络安全科技股份有限公司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基于可信安全防护技术的工业互联网安全防护系统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中国石油天然气股份有限公司西南油气田分公司川中油气矿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北京中油瑞飞信息技术有限责任公司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北京圣博润高新技术股份有限公司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基于人工智能的工业网络安全防护系统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北京六方云信息技术有限公司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航空工业商网零信任安全管理平台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中航金网（北京）电子商务有限公司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格尔软件股份有限公司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基于5G“零”信任安全专网的全球协同设计及智能制造安全管理平台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菲舍尔航空部件（镇江）有限公司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北京东方棱镜科技有限公司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中国电信股份有限公司镇江分公司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三一重起生产网安全融合韧性系统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三一汽车起重机械有限公司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广州安加互联科技有限公司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工业互联网安全监测与态势感知平台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长扬科技（北京）有限公司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千万吨炼油工控网络安全防护系统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浙江中控技术股份有限公司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基于行为基线的水电控制网络安全防护系统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北京天融信网络安全技术有限公司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石化行业工业互联网平台安全防护系统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江苏斯尔邦石化有限公司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DCS安全防护系统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北京蓝军网安科技发展有限责任公司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新疆量子通信技术有限公司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中科兴云（北京）科技有限公司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能源工业互联网安全态势感知平台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中能融合智慧科技有限公司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大数据驱动的泛终端安全管理平台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北京北信源软件股份有限公司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工业互联网安全及测试验证赋能平台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贵州航天云网科技有限公司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面向钢铁行业的工业互联网安全态势感知平台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上海宝信软件股份有限公司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面向燃气行业的一体化网络安全管理平台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深圳市燃气集团股份有限公司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工信君阳（北京）科技有限公司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电力网络安全监测与指挥平台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北京安天网络安全技术有限公司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工业互联网可信计算安全免疫防护系统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北京可信华泰信息技术有限公司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攻防演练平台工控仿真系统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杭州木链物联网科技有限公司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（三）车联网安全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车联网安全测评系统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中电智能技术南京有限公司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蘑菇车联信息科技有限公司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北京网康科技有限公司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智能网联汽车安全检测平台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中国汽车工程研究院股份有限公司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中汽院汽车技术有限公司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北京软安科技有限公司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车联网网络安全综合服务平台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中汽数据（天津）有限公司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奇安信科技集团股份有限公司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车联网安全态势感知平台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东风汽车股份有限公司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清创网御（合肥）科技有限公司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北京清华亚迅电子信息研究所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智能网联汽车安全检测平台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东风汽车股份有限公司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国家计算机网络与信息安全管理中心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北京清华亚迅电子信息研究所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基于国密算法的车联网/C-V2X通信安全基础平台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北京百度网讯科技有限公司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北京仁信证科技有限公司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车联网C-V2X安全平台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北京大唐高鸿数据网络技术有限公司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大唐高鸿信安（浙江）信息科技有限公司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大唐微电子技术有限公司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奇瑞车联网整体安全平台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奇瑞汽车股份有限公司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嵌入式系统安全审计平台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腾讯云计算（北京）有限责任公司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基于车云通讯的车联网安全云平台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湖北亿咖通科技有限公司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5G智慧公交网络安全平台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大唐移动通信设备有限公司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广东为辰信息科技有限公司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汽车信息安全攻防渗透平台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中国第一汽车股份有限公司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北京奇虎科技有限公司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车联网平台安全防护系统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武汉英泰斯特电子技术有限公司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车联网网络安全防护及符合性测评平台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中汽研汽车检验中心（天津）有限公司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东软集团股份有限公司</w:t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中汽研软件测评（天津）有限公司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（四）智慧城市安全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br w:type="page"/>
            </w: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基于内生安全框架的智慧城市安全运营平台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网神信息技术（北京）股份有限公司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玉溪市网络应急中心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互联网政务统一认证系统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亚信科技（成都）有限公司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基于零信任现代IAM技术的智慧城市安全管控平台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深圳竹云科技有限公司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面向数据安全共享的联邦数字网关平台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京东城市（北京）数字科技有限公司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智慧城市网络安全态势感知系统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中国联合网络通信有限公司智能城市研究院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面向数字政府的超融合数据安全保护平台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南京壹进制信息科技有限公司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基于摘要算法、时间戳和PKI的电子签名平台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杭州天谷信息科技有限公司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人工智能辅助的软件安全漏洞检测平台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山谷网安科技股份有限公司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远程办公零信任平台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阿里云计算有限公司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基于可信白名单技术的城市轨道交通纵深防御系统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北京威努特技术有限公司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基于动态防御集中管控的新一代政务平台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北京明朝万达科技股份有限公司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鑫智实战研判平台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厦门市美亚柏科信息股份有限公司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基于区块链技术的统一身份认证管理平台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新疆数字证书认证中心（有限公司）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上海移动电子政务云安全防护系统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中国移动通信集团上海有限公司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基于企业安全认证的无接触式复工服务系统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中国联合网络通信有限公司上海市分公司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智信零信任应用安全交付服务平台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武汉安天信息技术有限责任公司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熵通安全远程办公平台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熵通网络科技（天津）有限公司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熵加网络科技（北京）有限公司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（五）大数据安全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基于国产数据库的数据安全系统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中国移动通信集团山东有限公司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基于先进安全防护框架的数据安全一体化运营平台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北京神州绿盟科技有限公司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中国移动通信集团贵州有限公司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中国移动通信集团山东有限公司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基于人工智能技术的防失窃密数据安全检测平台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网易（杭州）网络有限公司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大数据可信安全保障平台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bookmarkStart w:id="0" w:name="RANGE!C93"/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京信数据科技有限公司</w:t>
            </w:r>
            <w:bookmarkEnd w:id="0"/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支持安全协作的数据管理平台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湖南文盾信息技术有限公司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面向数据安全的高可用性联邦学习技术平台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平安科技（深圳）有限公司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基于区块链的数据安全及共享交换平台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云南云上云信息化有限公司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云南云思科技有限公司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盛云科技有限公司</w:t>
            </w:r>
          </w:p>
        </w:tc>
      </w:tr>
      <w:tr>
        <w:trPr>
          <w:trHeight w:val="52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面向数据全生命周期的智能安全管控平台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杭州安恒信息技术股份有限公司</w:t>
            </w:r>
          </w:p>
        </w:tc>
      </w:tr>
      <w:tr>
        <w:trPr>
          <w:trHeight w:val="52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基于区块链技术的智慧广电大数据安全平台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江苏省广电有线信息网络股份有限公司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达梦大数据安全管理平台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武汉达梦数据库有限公司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基于终端管理与服务的大数据系统安全管控平台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中国移动通信集团终端有限公司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企业电子资产大数据安全防护系统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武汉天喻软件股份有限公司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面向电信和互联网行业的数据安全可视化统一管理平台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天津市国瑞数码安全系统股份有限公司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数字孪生城市安全防护系统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贵州数安汇大数据产业发展有限公司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大数据安全检索系统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纬领（青岛）网络安全研究院有限公司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电网输电线路运维大数据安全存储平台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智洋创新科技股份有限公司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面向敏感数据智能识别的大数据安全管控平台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中国移动通信集团贵州有限公司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中国移动通信集团湖北有限公司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上海观安信息技术股份有限公司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面向流动共享的电力数据安全合规管控平台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全球能源互联网研究院有限公司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国网冀北电力有限公司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国网安徽省电力有限公司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省级政务大数据中心大数据安全平台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新疆维吾尔自治区信息中心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新疆熙菱信息技术股份有限公司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基于大数据技术的移动应用安全监测平台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北京梆梆安全科技有限公司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天盾数据安全服务平台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中国联合网络通信有限公司软件研究院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乾云云平台安全防控管理系统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山东乾云启创信息科技股份有限公司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城市政务大数据协同安全平台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山西清众科技股份有限公司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中电长城网际系统应用有限公司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晋城市云祥大数据科技运营有限公司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（六）物联网安全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智能安防物联网安全态势感知平台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杭州海康威视数字技术股份有限公司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电力物联网边界安全防护装备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国网思极网安科技(北京)有限公司</w:t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信联科技（南京）有限公司</w:t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国网冀北电力有限公司信息通信分公司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物联网安全攻防测评平台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中移物联网有限公司</w:t>
            </w:r>
          </w:p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中国移动通信有限公司政企客户分公司</w:t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中国雄安集团数字城市科技有限公司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物联网安全套件系统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北京百度网讯科技有限公司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中国电信物联网安全管理平台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天翼物联科技有限公司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基于SE-SIM的物联网端到端安全防护系统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中移物联网有限公司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物联网安全接入与防护系统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北京启明星辰信息安全技术有限公司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5G烽火台-物联网设备安全监测平台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联通智慧安全科技有限公司</w:t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联通物联网有限责任公司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人工智能及物联网安全检测公共服务平台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北京智慧云测设备技术有限公司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面向5G智慧家庭的内生安全运营防护系统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楷体_GB2312" w:hAnsi="Times New Roman" w:eastAsia="楷体_GB2312" w:cs="Arial"/>
                <w:kern w:val="0"/>
                <w:sz w:val="20"/>
                <w:szCs w:val="20"/>
              </w:rPr>
              <w:t>中移（杭州）信息技术有限公司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（七）人工智能安全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智能双链安全风险防控平台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中孚信息股份有限公司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基于GIS地图的资产智能管理平台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郑州赛欧思科技有限公司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基于AI和TI的高级威胁预警与溯源分析平台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中国移动通信集团有限公司信息安全管理与运行中心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基于人工智能的高级威胁检测系统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北京金睛云华科技有限公司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新型信息基础设施网络威胁溯源追踪系统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郑州埃文计算机科技有限公司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基于“智能机器人”的威胁识别与自动化处置平台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中国联合网络通信有限公司北京市分公司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一体化威胁监测、预警及自动化响应实战平台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中国移动通信集团北京有限公司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网神信息技术（北京）股份有限公司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（八）区块链安全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共享经济综合服务中面向隐私保护的区块链全链路凭证平台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云账户技术（天津）有限公司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天津理工大学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区块链系统安全验证与防护平台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成都链安科技有限公司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四川虹微技术有限公司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泰豪科技股份有限公司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京东区块链技术安全平台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color w:val="000000"/>
                <w:kern w:val="0"/>
                <w:sz w:val="20"/>
                <w:szCs w:val="20"/>
              </w:rPr>
              <w:t>京东数科海益信息科技有限公司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安全区块链服务平台及应用支撑系统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中国电子科技网络信息安全有限公司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MP区块链隐私计算安全服务平台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湖南兆物信连信息科技有限公司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基于区块链的疫苗安全追溯监管平台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航天信息股份有限公司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区块链政务服务系统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山东省社会保险事业中心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山大地纬软件股份有限公司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博雅区块链安全威胁感知服务平台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北京国信云服科技有限公司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北京大学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博雅正链（北京）科技有限公司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基于区块链的能源业务动态身份认证平台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国网电子商务有限公司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国网思极飞天（兰州）云数科技有限公司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山东鲁能软件技术有限公司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（九）商用密码应用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免改造应用的商用密码数据安全防护平台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北京炼石网络技术有限公司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车联网（智能网联汽车）商用密码应用检测平台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中汽研软件测评（天津）有限公司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鼎铉商用密码测评技术(深圳)有限公司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郑州信大捷安信息技术股份有限公司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物联网/工业互联网/车联网轻量级密码技术系统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深圳奥联信息安全技术有限公司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商用密码应用安全性检测平台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工业和信息化部电子第五研究所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炼化行业工控安全商用密码应用系统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中国电子科技网络信息安全有限公司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中国石油化工股份有限公司广州分公司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工业信息安全（四川）创新中心有限公司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泛政务移动安全办公平台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河南芯盾网安科技发展有限公司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石油信息安全系统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北京数盾信息科技有限公司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基于ASIC智能芯片的密码破译平台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济南蓝剑钧新信息科技有限公司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（十）电信网络诈骗防范治理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中国移动不良信用用户入网集中管控平台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中国移动通信集团有限公司信息安全管理与运行中心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中国电信云堤反资产仿冒欺诈服务平台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中国电信集团有限公司网络和信息安全管理部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中国电信股份有限公司上海分公司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中国电信股份有限公司云计算分公司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电信网省际出入口诈骗电话防范系统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任子行网络技术股份有限公司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天津市国瑞数码安全系统股份有限公司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南京中新赛克科技有限责任公司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基于涉贷欺诈网站特征及图数据库技术的涉贷反欺诈系统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中国移动通信集团浙江有限公司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中国移动通信集团上海有限公司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上海观安信息技术股份有限公司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基于AI智能研判的诈骗电话联防联控平台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中国移动通信集团河南有限公司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中国联通大数据防欺诈系统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中国联合网络通信集团有限公司数字化部（信息安全部）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语音专线安全集中管控平台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中移在线服务有限公司</w:t>
            </w:r>
          </w:p>
        </w:tc>
      </w:tr>
    </w:tbl>
    <w:p>
      <w:pPr>
        <w:snapToGrid w:val="0"/>
        <w:spacing w:before="156" w:beforeLines="50"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二、网络安全公共服务类</w:t>
      </w:r>
    </w:p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（一）安全防护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工业互联网网络安全云端防护系统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中国联合网络通信有限公司浙江省分公司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联通（浙江）产业互联网有限公司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浙江鹏信信息科技股份有限公司</w:t>
            </w:r>
          </w:p>
        </w:tc>
      </w:tr>
      <w:tr>
        <w:trPr>
          <w:trHeight w:val="102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基于云模式的智能威胁分析处置和近源防护平台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中国移动通信集团有限公司信息技术中心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中国移动通信集团广东有限公司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中国移动通信集团辽宁有限公司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云磐：一站式云安全SaaS平台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厦门服云信息科技有限公司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基于零信任技术SDP安全接入平台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中国电信股份有限公司新疆分公司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基于云原生架构的融合多云自适应安全系统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北京启明星辰信息安全技术有限公司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域名解析服务拟态防御系统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中国联合网络通信有限公司洛阳市分公司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中国人民解放军战略支援部队信息工程大学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新基建下中国联通云网一体化安全能力平台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中国联合网络通信集团有限公司智网创新中心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中讯邮电咨询设计院有限公司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中国电信天翼云SaaS安全服务平台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中国电信股份有限公司云计算分公司</w:t>
            </w:r>
          </w:p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中国电信股份有限公司北京研究院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基于云模式互联网安全监控平台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南方电网数字传媒科技有限公司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基于安全资源池的智能安全攻击溯源平台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中国移动通信集团海南有限公司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基于零信任体系的网络安全边界防护系统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中移互联网有限公司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中国移动通信集团陕西有限公司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中国移动通信集团新疆有限公司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运营商集群池化抗DDoS智能服务平台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中国移动通信集团安徽有限公司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基于联网资产协同探测标定的山东省网络安全威胁感知平台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国家计算机网络与信息安全管理中心山东分中心</w:t>
            </w:r>
          </w:p>
        </w:tc>
      </w:tr>
      <w:tr>
        <w:trPr>
          <w:trHeight w:val="5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互联网移动应用资产安全违规监测系统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中国移动通信集团重庆有限公司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北京智游网安科技有限公司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（二）安全运营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安全管理及漏洞免疫平台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国网电商科技有限公司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人机共智的网络安全运营服务平台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深信服科技股份有限公司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一体化管家式网络安全运营平台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平安国际智慧城市科技股份有限公司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网络安全应急响应120公共服务平台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奇安信科技集团股份有限公司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安全生命周期公共服务平台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天讯瑞达通信技术有限公司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基于知识图谱的大规模网络安全攻防平台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南京众智维信息科技有限公司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中国电信股份有限公司江苏分公司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SecMind安全管家运营服务平台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上海豌豆信息技术有限公司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网络安全监测预警与应急响应服务平台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中电长城网际系统应用有限公司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北京神州绿盟科技有限公司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（三）威胁情报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7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网络空间威胁情报大数据共享开放平台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中国科学院信息工程研究所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奇安信网神网络安全技术（北京）有限公司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北京安天网络安全技术有限公司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微步在线X情报社区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北京微步在线科技有限公司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基于“网络空间测绘”的新型信息基础设施安全威胁监测平台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北京华顺信安科技有限公司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漏洞盒子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上海斗象信息科技有限公司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隐匿网络安全风险监测系统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北京中晟信达科技有限公司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网络安全开源情报系统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神州网云（北京）信息技术有限公司</w:t>
            </w:r>
          </w:p>
        </w:tc>
      </w:tr>
    </w:tbl>
    <w:p>
      <w:pPr>
        <w:snapToGrid w:val="0"/>
        <w:spacing w:line="58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（四）安全培训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新时代面向实战的多维保密安全教育系统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中孚信息股份有限公司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杭州电子科技大学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i春秋网络安全在线教育平台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北京永信至诚科技股份有限公司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北京五一嘉峪科技有限公司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网络攻防实训公共服务平台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博智安全科技股份有限公司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PKS生态服务平台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湖南长城科技信息有限公司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360网络空间安全教育云平台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北京鸿腾智能科技有限公司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北京航天智造科技发展有限公司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网络安全竞技平台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北京赛宁网安科技有限公司</w:t>
            </w:r>
          </w:p>
        </w:tc>
      </w:tr>
    </w:tbl>
    <w:p>
      <w:pPr>
        <w:snapToGrid w:val="0"/>
        <w:spacing w:before="156" w:beforeLines="50" w:after="156" w:afterLines="50" w:line="58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三、网络安全“高精尖”技术创新平台类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60"/>
        <w:gridCol w:w="4332"/>
      </w:tblGrid>
      <w:tr>
        <w:trPr>
          <w:trHeight w:val="270" w:hRule="atLeast"/>
          <w:tblHeader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黑体" w:cs="Arial"/>
                <w:kern w:val="0"/>
                <w:sz w:val="20"/>
                <w:szCs w:val="20"/>
              </w:rPr>
              <w:t>申报单位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郑州金水科教园区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郑州金水科教园区管理委员会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北京顺义车联网（智能网联汽车）创新发展示范区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北京市顺义区北小营镇`人民政府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合肥高新技术产业开发区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合肥高新技术产业开发区管理委员会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中国科学技术大学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重庆合川信息安全产业城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重庆市合川区信息安全产业发展中心</w:t>
            </w:r>
          </w:p>
        </w:tc>
      </w:tr>
      <w:tr>
        <w:trPr>
          <w:trHeight w:val="53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鹰潭国家高新技术产业开发区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鹰潭国家高新技术产业开发区管理委员会</w:t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鹰潭泰尔物联网研究中心</w:t>
            </w:r>
          </w:p>
        </w:tc>
      </w:tr>
      <w:tr>
        <w:trPr>
          <w:trHeight w:val="27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杭州信息安全产业园</w:t>
            </w:r>
          </w:p>
        </w:tc>
        <w:tc>
          <w:tcPr>
            <w:tcW w:w="4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 w:cs="Arial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_GB2312" w:cs="Arial"/>
                <w:kern w:val="0"/>
                <w:sz w:val="20"/>
                <w:szCs w:val="20"/>
              </w:rPr>
              <w:t>杭州萧山钱江世纪城科技服务有限公司</w:t>
            </w:r>
          </w:p>
        </w:tc>
      </w:tr>
    </w:tbl>
    <w:p>
      <w:pPr>
        <w:snapToGrid w:val="0"/>
        <w:spacing w:before="156" w:beforeLines="50" w:after="156" w:afterLines="50" w:line="58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altName w:val="Droid Sans Japanese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华文细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华文细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华文细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方正行楷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方正隶书_GBK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2989000"/>
    </w:sdtPr>
    <w:sdtContent>
      <w:p>
        <w:pPr>
          <w:pStyle w:val="5"/>
          <w:jc w:val="center"/>
        </w:pPr>
        <w:r>
          <w:rPr>
            <w:rFonts w:hint="eastAsia" w:ascii="宋体" w:hAnsi="宋体" w:eastAsia="宋体" w:cs="宋体"/>
          </w:rPr>
          <w:fldChar w:fldCharType="begin"/>
        </w:r>
        <w:r>
          <w:rPr>
            <w:rFonts w:hint="eastAsia" w:ascii="宋体" w:hAnsi="宋体" w:eastAsia="宋体" w:cs="宋体"/>
          </w:rPr>
          <w:instrText xml:space="preserve">PAGE   \* MERGEFORMAT</w:instrText>
        </w:r>
        <w:r>
          <w:rPr>
            <w:rFonts w:hint="eastAsia" w:ascii="宋体" w:hAnsi="宋体" w:eastAsia="宋体" w:cs="宋体"/>
          </w:rPr>
          <w:fldChar w:fldCharType="separate"/>
        </w:r>
        <w:r>
          <w:rPr>
            <w:rFonts w:hint="eastAsia" w:ascii="宋体" w:hAnsi="宋体" w:eastAsia="宋体" w:cs="宋体"/>
            <w:lang w:val="zh-CN"/>
          </w:rPr>
          <w:t>1</w:t>
        </w:r>
        <w:r>
          <w:rPr>
            <w:rFonts w:hint="eastAsia" w:ascii="宋体" w:hAnsi="宋体" w:eastAsia="宋体" w:cs="宋体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5"/>
    <w:rsid w:val="00010215"/>
    <w:rsid w:val="00017138"/>
    <w:rsid w:val="00017C24"/>
    <w:rsid w:val="00026C82"/>
    <w:rsid w:val="00053AEE"/>
    <w:rsid w:val="000E02F1"/>
    <w:rsid w:val="001241CC"/>
    <w:rsid w:val="0012731C"/>
    <w:rsid w:val="001349EF"/>
    <w:rsid w:val="00177A37"/>
    <w:rsid w:val="0019122C"/>
    <w:rsid w:val="001D7FB9"/>
    <w:rsid w:val="0020253E"/>
    <w:rsid w:val="0032181D"/>
    <w:rsid w:val="003244E7"/>
    <w:rsid w:val="00363AA2"/>
    <w:rsid w:val="003C2CF1"/>
    <w:rsid w:val="003C5D61"/>
    <w:rsid w:val="003F463A"/>
    <w:rsid w:val="0040681A"/>
    <w:rsid w:val="0041751C"/>
    <w:rsid w:val="00442A3C"/>
    <w:rsid w:val="004523D1"/>
    <w:rsid w:val="004557D8"/>
    <w:rsid w:val="00457252"/>
    <w:rsid w:val="004808B8"/>
    <w:rsid w:val="0049188C"/>
    <w:rsid w:val="00492BF0"/>
    <w:rsid w:val="004945C8"/>
    <w:rsid w:val="004E213C"/>
    <w:rsid w:val="00533EA1"/>
    <w:rsid w:val="00565F8E"/>
    <w:rsid w:val="005674F1"/>
    <w:rsid w:val="005D6EE3"/>
    <w:rsid w:val="00602205"/>
    <w:rsid w:val="0064016A"/>
    <w:rsid w:val="006422AE"/>
    <w:rsid w:val="00645F59"/>
    <w:rsid w:val="006537E9"/>
    <w:rsid w:val="006B34A2"/>
    <w:rsid w:val="006C48E5"/>
    <w:rsid w:val="006C4A8A"/>
    <w:rsid w:val="006C4DC7"/>
    <w:rsid w:val="006F1F8D"/>
    <w:rsid w:val="0073138F"/>
    <w:rsid w:val="00752303"/>
    <w:rsid w:val="00757289"/>
    <w:rsid w:val="007722B1"/>
    <w:rsid w:val="0078344A"/>
    <w:rsid w:val="007A5375"/>
    <w:rsid w:val="007C4A1A"/>
    <w:rsid w:val="007C68E0"/>
    <w:rsid w:val="007D1909"/>
    <w:rsid w:val="007D2A23"/>
    <w:rsid w:val="00812360"/>
    <w:rsid w:val="00816341"/>
    <w:rsid w:val="00820933"/>
    <w:rsid w:val="008210CE"/>
    <w:rsid w:val="008915DE"/>
    <w:rsid w:val="00895715"/>
    <w:rsid w:val="00907EFD"/>
    <w:rsid w:val="00924061"/>
    <w:rsid w:val="009456A4"/>
    <w:rsid w:val="009545C7"/>
    <w:rsid w:val="00963990"/>
    <w:rsid w:val="0096587A"/>
    <w:rsid w:val="009B113D"/>
    <w:rsid w:val="009B5EBF"/>
    <w:rsid w:val="009B6B26"/>
    <w:rsid w:val="009C2896"/>
    <w:rsid w:val="009E01D1"/>
    <w:rsid w:val="00A10E88"/>
    <w:rsid w:val="00A11F5C"/>
    <w:rsid w:val="00A27D75"/>
    <w:rsid w:val="00A44E58"/>
    <w:rsid w:val="00A53079"/>
    <w:rsid w:val="00A610B7"/>
    <w:rsid w:val="00A72D49"/>
    <w:rsid w:val="00A97B4D"/>
    <w:rsid w:val="00AA544C"/>
    <w:rsid w:val="00AF6DDF"/>
    <w:rsid w:val="00B12946"/>
    <w:rsid w:val="00B41CE6"/>
    <w:rsid w:val="00B4684A"/>
    <w:rsid w:val="00BA0256"/>
    <w:rsid w:val="00BD02CE"/>
    <w:rsid w:val="00BD0FA0"/>
    <w:rsid w:val="00BF384F"/>
    <w:rsid w:val="00C31293"/>
    <w:rsid w:val="00CF6426"/>
    <w:rsid w:val="00CF69D5"/>
    <w:rsid w:val="00D036D6"/>
    <w:rsid w:val="00D140B3"/>
    <w:rsid w:val="00D21E8E"/>
    <w:rsid w:val="00D319D3"/>
    <w:rsid w:val="00D41BA1"/>
    <w:rsid w:val="00D44ED6"/>
    <w:rsid w:val="00D520E9"/>
    <w:rsid w:val="00D6397E"/>
    <w:rsid w:val="00D97C88"/>
    <w:rsid w:val="00E43BAE"/>
    <w:rsid w:val="00E568D8"/>
    <w:rsid w:val="00E63E8F"/>
    <w:rsid w:val="00E71430"/>
    <w:rsid w:val="00E96802"/>
    <w:rsid w:val="00EA3352"/>
    <w:rsid w:val="00EB1674"/>
    <w:rsid w:val="00EF0ADD"/>
    <w:rsid w:val="00EF0B9B"/>
    <w:rsid w:val="00F2787B"/>
    <w:rsid w:val="00F432A9"/>
    <w:rsid w:val="00F776BD"/>
    <w:rsid w:val="00F81B2E"/>
    <w:rsid w:val="00FA378A"/>
    <w:rsid w:val="00FE759B"/>
    <w:rsid w:val="00FF53CC"/>
    <w:rsid w:val="3BFFF4DE"/>
    <w:rsid w:val="4A3461E5"/>
    <w:rsid w:val="6F6BBF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  <w:pPr>
      <w:jc w:val="left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批注文字 字符"/>
    <w:basedOn w:val="7"/>
    <w:link w:val="3"/>
    <w:semiHidden/>
    <w:qFormat/>
    <w:uiPriority w:val="99"/>
  </w:style>
  <w:style w:type="character" w:customStyle="1" w:styleId="15">
    <w:name w:val="批注主题 字符"/>
    <w:basedOn w:val="14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1203</Words>
  <Characters>6860</Characters>
  <Lines>57</Lines>
  <Paragraphs>16</Paragraphs>
  <ScaleCrop>false</ScaleCrop>
  <LinksUpToDate>false</LinksUpToDate>
  <CharactersWithSpaces>8047</CharactersWithSpaces>
  <Application>WPS Office 专业版_10.1.0.5734_F1E327BC-269C-435d-A152-05C5408002CA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2020-11-17T16:35:00Z</dcterms:created>
  <dc:creator>zhaoshuang_emily@163.com</dc:creator>
  <cp:lastModifiedBy>高羽茜</cp:lastModifiedBy>
  <cp:lastPrinted>2020-11-17T16:36:00Z</cp:lastPrinted>
  <dcterms:modified xsi:type="dcterms:W3CDTF">2020-11-30T11:03:46Z</dcterms:modified>
  <dc:title>附 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